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56443" w14:textId="77777777" w:rsidR="00223C5B" w:rsidRDefault="00000000">
      <w:pPr>
        <w:rPr>
          <w:b/>
          <w:color w:val="21768D"/>
          <w:sz w:val="26"/>
          <w:szCs w:val="26"/>
        </w:rPr>
      </w:pPr>
      <w:r>
        <w:rPr>
          <w:b/>
          <w:color w:val="21768D"/>
          <w:sz w:val="26"/>
          <w:szCs w:val="26"/>
        </w:rPr>
        <w:t>Foundational Supports Interview Questions</w:t>
      </w:r>
    </w:p>
    <w:p w14:paraId="735428BE" w14:textId="77777777" w:rsidR="00223C5B" w:rsidRDefault="00000000">
      <w:pPr>
        <w:rPr>
          <w:sz w:val="26"/>
          <w:szCs w:val="26"/>
        </w:rPr>
      </w:pPr>
      <w:r>
        <w:rPr>
          <w:sz w:val="26"/>
          <w:szCs w:val="26"/>
        </w:rPr>
        <w:t xml:space="preserve">Possible script to share with the interviewee – “The Tribal Attendance Promising Practices program is built </w:t>
      </w:r>
      <w:proofErr w:type="gramStart"/>
      <w:r>
        <w:rPr>
          <w:sz w:val="26"/>
          <w:szCs w:val="26"/>
        </w:rPr>
        <w:t>off of</w:t>
      </w:r>
      <w:proofErr w:type="gramEnd"/>
      <w:r>
        <w:rPr>
          <w:sz w:val="26"/>
          <w:szCs w:val="26"/>
        </w:rPr>
        <w:t xml:space="preserve"> the research-based methods from Attendance Works. In our TAPP monthly meetings this year, we have been learning more about the </w:t>
      </w:r>
      <w:hyperlink r:id="rId5">
        <w:r>
          <w:rPr>
            <w:color w:val="1155CC"/>
            <w:sz w:val="26"/>
            <w:szCs w:val="26"/>
            <w:u w:val="single"/>
          </w:rPr>
          <w:t>Three Tiers of Intervention</w:t>
        </w:r>
      </w:hyperlink>
      <w:r>
        <w:rPr>
          <w:sz w:val="26"/>
          <w:szCs w:val="26"/>
        </w:rPr>
        <w:t xml:space="preserve">, especially about the importance of “Foundational Supports”. I would like to learn more about the foundational supports in place at [insert name of school], so I can better understand the school and in turn, better support the students and the educators who serve them each day. </w:t>
      </w:r>
    </w:p>
    <w:p w14:paraId="7EABE905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----------------------------------------------------------------------------------------------------------------------------------------------------</w:t>
      </w:r>
    </w:p>
    <w:p w14:paraId="24176984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General Questions to ask for the various quadrants described below –</w:t>
      </w:r>
    </w:p>
    <w:p w14:paraId="3137BACE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Please describe the things in place to support…</w:t>
      </w:r>
    </w:p>
    <w:p w14:paraId="4206401C" w14:textId="77777777" w:rsidR="00223C5B" w:rsidRDefault="00223C5B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</w:p>
    <w:p w14:paraId="04D652C2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In what ways are students and families informed about these supports/resources/this information?</w:t>
      </w:r>
    </w:p>
    <w:p w14:paraId="2D319520" w14:textId="77777777" w:rsidR="00223C5B" w:rsidRDefault="00223C5B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</w:p>
    <w:p w14:paraId="6232AC63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What are some of the goals the school has for _________________________?</w:t>
      </w:r>
    </w:p>
    <w:p w14:paraId="4D0C41E8" w14:textId="77777777" w:rsidR="00223C5B" w:rsidRDefault="00223C5B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</w:p>
    <w:p w14:paraId="6A49495B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How do school staff ensure students have access to ____________________?</w:t>
      </w:r>
    </w:p>
    <w:p w14:paraId="18900D5D" w14:textId="77777777" w:rsidR="00223C5B" w:rsidRDefault="00223C5B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</w:p>
    <w:p w14:paraId="695D7270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How are staff initially supported or trained on this and how do they receive follow up support?</w:t>
      </w:r>
    </w:p>
    <w:p w14:paraId="40FC21BB" w14:textId="77777777" w:rsidR="00223C5B" w:rsidRDefault="00223C5B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</w:p>
    <w:p w14:paraId="23A6E41E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Can you say more about that?</w:t>
      </w:r>
    </w:p>
    <w:p w14:paraId="548A1CED" w14:textId="77777777" w:rsidR="00223C5B" w:rsidRDefault="00223C5B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</w:p>
    <w:p w14:paraId="51849B9E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Where might I find out more information on that?</w:t>
      </w:r>
    </w:p>
    <w:p w14:paraId="6752EF56" w14:textId="77777777" w:rsidR="00223C5B" w:rsidRDefault="00000000">
      <w:pPr>
        <w:widowControl w:val="0"/>
        <w:spacing w:line="240" w:lineRule="auto"/>
        <w:rPr>
          <w:rFonts w:ascii="Roboto" w:eastAsia="Roboto" w:hAnsi="Roboto" w:cs="Roboto"/>
          <w:color w:val="212121"/>
          <w:sz w:val="26"/>
          <w:szCs w:val="26"/>
        </w:rPr>
      </w:pPr>
      <w:r>
        <w:rPr>
          <w:rFonts w:ascii="Roboto" w:eastAsia="Roboto" w:hAnsi="Roboto" w:cs="Roboto"/>
          <w:color w:val="212121"/>
          <w:sz w:val="26"/>
          <w:szCs w:val="26"/>
        </w:rPr>
        <w:t>--------------------------------------------------------------------------------------------------------------------------------------------------</w:t>
      </w:r>
    </w:p>
    <w:p w14:paraId="73B4A881" w14:textId="77777777" w:rsidR="00223C5B" w:rsidRDefault="00000000">
      <w:pPr>
        <w:rPr>
          <w:b/>
          <w:color w:val="21768D"/>
          <w:sz w:val="26"/>
          <w:szCs w:val="26"/>
        </w:rPr>
      </w:pPr>
      <w:r>
        <w:rPr>
          <w:b/>
          <w:color w:val="21768D"/>
          <w:sz w:val="26"/>
          <w:szCs w:val="26"/>
        </w:rPr>
        <w:t>Foundational Supports Which Promote Positive Conditions for Learning</w:t>
      </w:r>
      <w:r>
        <w:rPr>
          <w:noProof/>
        </w:rPr>
        <w:drawing>
          <wp:anchor distT="57150" distB="57150" distL="57150" distR="57150" simplePos="0" relativeHeight="251658240" behindDoc="0" locked="0" layoutInCell="1" hidden="0" allowOverlap="1" wp14:anchorId="3970F1A8" wp14:editId="3CF39645">
            <wp:simplePos x="0" y="0"/>
            <wp:positionH relativeFrom="column">
              <wp:posOffset>4305300</wp:posOffset>
            </wp:positionH>
            <wp:positionV relativeFrom="paragraph">
              <wp:posOffset>238125</wp:posOffset>
            </wp:positionV>
            <wp:extent cx="2691081" cy="1987823"/>
            <wp:effectExtent l="0" t="0" r="0" b="0"/>
            <wp:wrapSquare wrapText="bothSides" distT="57150" distB="57150" distL="57150" distR="571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1081" cy="19878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B15D23" w14:textId="77777777" w:rsidR="00223C5B" w:rsidRDefault="00000000">
      <w:pPr>
        <w:numPr>
          <w:ilvl w:val="0"/>
          <w:numId w:val="1"/>
        </w:numPr>
        <w:shd w:val="clear" w:color="auto" w:fill="FFFFFF"/>
        <w:spacing w:line="332" w:lineRule="auto"/>
        <w:rPr>
          <w:b/>
          <w:color w:val="38761D"/>
        </w:rPr>
      </w:pPr>
      <w:r>
        <w:rPr>
          <w:rFonts w:ascii="Roboto" w:eastAsia="Roboto" w:hAnsi="Roboto" w:cs="Roboto"/>
          <w:b/>
          <w:color w:val="38761D"/>
          <w:sz w:val="26"/>
          <w:szCs w:val="26"/>
        </w:rPr>
        <w:t>Physical and Emotional Health and Safety</w:t>
      </w:r>
    </w:p>
    <w:p w14:paraId="534F06B8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Healthy learning environments</w:t>
      </w:r>
    </w:p>
    <w:p w14:paraId="19C19631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 xml:space="preserve">Welcoming, safe school climate </w:t>
      </w:r>
    </w:p>
    <w:p w14:paraId="32AB8502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Access to food and other basic needs</w:t>
      </w:r>
    </w:p>
    <w:p w14:paraId="791A61D5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Restorative circles</w:t>
      </w:r>
    </w:p>
    <w:p w14:paraId="04282CDB" w14:textId="77777777" w:rsidR="00223C5B" w:rsidRDefault="00000000">
      <w:pPr>
        <w:numPr>
          <w:ilvl w:val="0"/>
          <w:numId w:val="1"/>
        </w:numPr>
        <w:shd w:val="clear" w:color="auto" w:fill="FFFFFF"/>
        <w:spacing w:line="332" w:lineRule="auto"/>
        <w:rPr>
          <w:b/>
          <w:color w:val="38761D"/>
        </w:rPr>
      </w:pPr>
      <w:r>
        <w:rPr>
          <w:rFonts w:ascii="Roboto" w:eastAsia="Roboto" w:hAnsi="Roboto" w:cs="Roboto"/>
          <w:b/>
          <w:color w:val="38761D"/>
          <w:sz w:val="26"/>
          <w:szCs w:val="26"/>
        </w:rPr>
        <w:t>Belonging, Connection and Support</w:t>
      </w:r>
    </w:p>
    <w:p w14:paraId="144D866F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Active student and family engagement</w:t>
      </w:r>
    </w:p>
    <w:p w14:paraId="7D2AFEA0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Advisories/meetings to build community</w:t>
      </w:r>
    </w:p>
    <w:p w14:paraId="75774A11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Enrichment and clubs</w:t>
      </w:r>
    </w:p>
    <w:p w14:paraId="7C615772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 xml:space="preserve">Positive peer connections </w:t>
      </w:r>
    </w:p>
    <w:p w14:paraId="3D64B88F" w14:textId="77777777" w:rsidR="00223C5B" w:rsidRDefault="00000000">
      <w:pPr>
        <w:numPr>
          <w:ilvl w:val="0"/>
          <w:numId w:val="1"/>
        </w:numPr>
        <w:shd w:val="clear" w:color="auto" w:fill="FFFFFF"/>
        <w:spacing w:line="332" w:lineRule="auto"/>
        <w:rPr>
          <w:b/>
          <w:color w:val="38761D"/>
        </w:rPr>
      </w:pPr>
      <w:r>
        <w:rPr>
          <w:rFonts w:ascii="Roboto" w:eastAsia="Roboto" w:hAnsi="Roboto" w:cs="Roboto"/>
          <w:b/>
          <w:color w:val="38761D"/>
          <w:sz w:val="26"/>
          <w:szCs w:val="26"/>
        </w:rPr>
        <w:t>Academic Challenge and Engagement</w:t>
      </w:r>
    </w:p>
    <w:p w14:paraId="5C09216F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Access to tech and internet</w:t>
      </w:r>
    </w:p>
    <w:p w14:paraId="65549735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Learning supports</w:t>
      </w:r>
    </w:p>
    <w:p w14:paraId="7939BE11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lastRenderedPageBreak/>
        <w:t xml:space="preserve">Project-based learning </w:t>
      </w:r>
    </w:p>
    <w:p w14:paraId="373D8F02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 xml:space="preserve">Credit recovery opportunities </w:t>
      </w:r>
    </w:p>
    <w:p w14:paraId="4FA40AE1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Internships/community service</w:t>
      </w:r>
    </w:p>
    <w:p w14:paraId="63423AB2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Alternative scheduling options</w:t>
      </w:r>
    </w:p>
    <w:p w14:paraId="7ED29A26" w14:textId="77777777" w:rsidR="00223C5B" w:rsidRDefault="00000000">
      <w:pPr>
        <w:numPr>
          <w:ilvl w:val="0"/>
          <w:numId w:val="1"/>
        </w:numPr>
        <w:shd w:val="clear" w:color="auto" w:fill="FFFFFF"/>
        <w:spacing w:line="332" w:lineRule="auto"/>
        <w:rPr>
          <w:b/>
          <w:color w:val="38761D"/>
        </w:rPr>
      </w:pPr>
      <w:r>
        <w:rPr>
          <w:rFonts w:ascii="Roboto" w:eastAsia="Roboto" w:hAnsi="Roboto" w:cs="Roboto"/>
          <w:b/>
          <w:color w:val="38761D"/>
          <w:sz w:val="26"/>
          <w:szCs w:val="26"/>
        </w:rPr>
        <w:t>Adult and Student Well-Being and Emotional Competence</w:t>
      </w:r>
    </w:p>
    <w:p w14:paraId="70709BB0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 xml:space="preserve">Restorative check-ins </w:t>
      </w:r>
    </w:p>
    <w:p w14:paraId="2B11A0C1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Access to health care and mental health supports</w:t>
      </w:r>
    </w:p>
    <w:p w14:paraId="5E50E2A7" w14:textId="77777777" w:rsidR="00223C5B" w:rsidRDefault="00000000">
      <w:pPr>
        <w:numPr>
          <w:ilvl w:val="1"/>
          <w:numId w:val="1"/>
        </w:numPr>
        <w:shd w:val="clear" w:color="auto" w:fill="FFFFFF"/>
        <w:spacing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 xml:space="preserve">Trauma-informed practice </w:t>
      </w:r>
    </w:p>
    <w:p w14:paraId="60141900" w14:textId="77777777" w:rsidR="00223C5B" w:rsidRDefault="00000000">
      <w:pPr>
        <w:numPr>
          <w:ilvl w:val="1"/>
          <w:numId w:val="1"/>
        </w:numPr>
        <w:shd w:val="clear" w:color="auto" w:fill="FFFFFF"/>
        <w:spacing w:after="320" w:line="332" w:lineRule="auto"/>
      </w:pPr>
      <w:r>
        <w:rPr>
          <w:rFonts w:ascii="Roboto" w:eastAsia="Roboto" w:hAnsi="Roboto" w:cs="Roboto"/>
          <w:color w:val="212121"/>
          <w:sz w:val="26"/>
          <w:szCs w:val="26"/>
        </w:rPr>
        <w:t>Staff self-care</w:t>
      </w:r>
    </w:p>
    <w:p w14:paraId="7E100A42" w14:textId="77777777" w:rsidR="00223C5B" w:rsidRDefault="00223C5B">
      <w:pPr>
        <w:rPr>
          <w:sz w:val="26"/>
          <w:szCs w:val="26"/>
        </w:rPr>
      </w:pPr>
    </w:p>
    <w:p w14:paraId="48669072" w14:textId="77777777" w:rsidR="00223C5B" w:rsidRDefault="00223C5B">
      <w:pPr>
        <w:rPr>
          <w:sz w:val="26"/>
          <w:szCs w:val="26"/>
        </w:rPr>
      </w:pPr>
    </w:p>
    <w:p w14:paraId="21C032AB" w14:textId="77777777" w:rsidR="00223C5B" w:rsidRDefault="00223C5B">
      <w:pPr>
        <w:rPr>
          <w:sz w:val="26"/>
          <w:szCs w:val="26"/>
        </w:rPr>
      </w:pPr>
    </w:p>
    <w:p w14:paraId="65648803" w14:textId="77777777" w:rsidR="00223C5B" w:rsidRDefault="00223C5B">
      <w:pPr>
        <w:rPr>
          <w:sz w:val="26"/>
          <w:szCs w:val="26"/>
        </w:rPr>
      </w:pPr>
    </w:p>
    <w:p w14:paraId="5CC2B647" w14:textId="77777777" w:rsidR="00223C5B" w:rsidRDefault="00000000">
      <w:pPr>
        <w:rPr>
          <w:sz w:val="26"/>
          <w:szCs w:val="26"/>
        </w:rPr>
      </w:pPr>
      <w:r>
        <w:rPr>
          <w:sz w:val="26"/>
          <w:szCs w:val="26"/>
        </w:rPr>
        <w:t>This document has been adapted from the Attendance Works resources found here - https://www.attendanceworks.org/chronic-absence/addressing-chronic-absence/examples-of-tiered-practices/</w:t>
      </w:r>
    </w:p>
    <w:p w14:paraId="34D79DCE" w14:textId="77777777" w:rsidR="00223C5B" w:rsidRDefault="00223C5B">
      <w:pPr>
        <w:shd w:val="clear" w:color="auto" w:fill="FFFFFF"/>
        <w:spacing w:after="320" w:line="332" w:lineRule="auto"/>
        <w:rPr>
          <w:rFonts w:ascii="Roboto" w:eastAsia="Roboto" w:hAnsi="Roboto" w:cs="Roboto"/>
          <w:color w:val="212121"/>
          <w:sz w:val="26"/>
          <w:szCs w:val="26"/>
        </w:rPr>
      </w:pPr>
    </w:p>
    <w:p w14:paraId="4ECDC3C6" w14:textId="77777777" w:rsidR="00223C5B" w:rsidRDefault="00223C5B">
      <w:pPr>
        <w:numPr>
          <w:ilvl w:val="0"/>
          <w:numId w:val="1"/>
        </w:numPr>
        <w:shd w:val="clear" w:color="auto" w:fill="FFFFFF"/>
        <w:spacing w:line="332" w:lineRule="auto"/>
      </w:pPr>
    </w:p>
    <w:p w14:paraId="46DC57E6" w14:textId="77777777" w:rsidR="00223C5B" w:rsidRDefault="00223C5B">
      <w:pPr>
        <w:numPr>
          <w:ilvl w:val="0"/>
          <w:numId w:val="1"/>
        </w:numPr>
        <w:shd w:val="clear" w:color="auto" w:fill="FFFFFF"/>
        <w:spacing w:after="320" w:line="332" w:lineRule="auto"/>
      </w:pPr>
    </w:p>
    <w:p w14:paraId="0E24EBA6" w14:textId="77777777" w:rsidR="00223C5B" w:rsidRDefault="00223C5B">
      <w:pPr>
        <w:rPr>
          <w:sz w:val="26"/>
          <w:szCs w:val="26"/>
        </w:rPr>
      </w:pPr>
    </w:p>
    <w:sectPr w:rsidR="00223C5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259FE773-AB01-4F5F-A383-E5A1018B1FD2}"/>
    <w:embedBold r:id="rId2" w:fontKey="{4A6CAB12-7505-4AB4-AC78-67DC3042E2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D73235A-4C7D-4F4E-BA53-DF1CC224E2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4F8BB47-1679-4F72-A2C3-0D2034234F7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C92F50"/>
    <w:multiLevelType w:val="multilevel"/>
    <w:tmpl w:val="ABC64F48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212121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212121"/>
        <w:sz w:val="26"/>
        <w:szCs w:val="26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4255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C5B"/>
    <w:rsid w:val="001259EF"/>
    <w:rsid w:val="00223C5B"/>
    <w:rsid w:val="00A9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5D73"/>
  <w15:docId w15:val="{9E581094-814E-4266-B053-BDB43CD6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www.attendanceworks.org/chronic-absence/addressing-chronic-absence/3-tiers-of-intervention/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2024-10-16T07:00:00+00:00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95A9FC98-24F1-44BA-BCC3-453A85054D1C}"/>
</file>

<file path=customXml/itemProps2.xml><?xml version="1.0" encoding="utf-8"?>
<ds:datastoreItem xmlns:ds="http://schemas.openxmlformats.org/officeDocument/2006/customXml" ds:itemID="{57741175-FF04-4F69-A48D-538CDC0F2E34}"/>
</file>

<file path=customXml/itemProps3.xml><?xml version="1.0" encoding="utf-8"?>
<ds:datastoreItem xmlns:ds="http://schemas.openxmlformats.org/officeDocument/2006/customXml" ds:itemID="{91F8A72D-2222-4B86-A331-83545DFA08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REECE Raina * ODE</dc:creator>
  <cp:lastModifiedBy>REECE Raina * ODE</cp:lastModifiedBy>
  <cp:revision>2</cp:revision>
  <dcterms:created xsi:type="dcterms:W3CDTF">2024-10-16T23:09:00Z</dcterms:created>
  <dcterms:modified xsi:type="dcterms:W3CDTF">2024-10-16T23:09:00Z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2024-10-16T23:09:32Z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62d40448-52ef-4bbf-be17-4b336c1d40b4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0x0101005007C023760E4B43B88CA40098E6CCFF</vt:lpwstr>
  </property>
</Properties>
</file>