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D2062" w:rsidRDefault="00000000">
      <w:pPr>
        <w:ind w:left="1350" w:hanging="1350"/>
        <w:rPr>
          <w:b/>
          <w:sz w:val="24"/>
          <w:szCs w:val="24"/>
        </w:rPr>
      </w:pPr>
      <w:r>
        <w:rPr>
          <w:b/>
          <w:sz w:val="24"/>
          <w:szCs w:val="24"/>
        </w:rPr>
        <w:t>581-017-3000 State Summer Learning Grant: Definitions</w:t>
      </w:r>
    </w:p>
    <w:p w14:paraId="00000002" w14:textId="77777777" w:rsidR="007D2062" w:rsidRDefault="00000000">
      <w:r>
        <w:t>The definitions in this section apply to OAR 581-017-3000 through OAR 581-017-3035.</w:t>
      </w:r>
    </w:p>
    <w:p w14:paraId="00000003" w14:textId="77777777" w:rsidR="007D2062" w:rsidRDefault="00000000">
      <w:r>
        <w:t>(1) “Department” means the Oregon Department of Education.</w:t>
      </w:r>
    </w:p>
    <w:p w14:paraId="00000004" w14:textId="77777777" w:rsidR="007D2062" w:rsidRDefault="00000000">
      <w:r>
        <w:t>(2) “Eligible Entity” means a School District, Charter School, ESD, or Tribe, or any consortium of these entities, that meets the requirements under Section 1(2) and (3) of HB 2007 (2025).</w:t>
      </w:r>
    </w:p>
    <w:p w14:paraId="00000005" w14:textId="77777777" w:rsidR="007D2062" w:rsidRDefault="00000000">
      <w:r>
        <w:t>(3) “Education Service District” or “ESD” means a service district organized under ORS Chapter 334.</w:t>
      </w:r>
    </w:p>
    <w:p w14:paraId="00000006" w14:textId="77777777" w:rsidR="007D2062" w:rsidRDefault="00000000">
      <w:r>
        <w:t>(4) “Charter School” means a school organized under ORS 338.</w:t>
      </w:r>
    </w:p>
    <w:p w14:paraId="00000007" w14:textId="77777777" w:rsidR="007D2062" w:rsidRDefault="00000000">
      <w:r>
        <w:t>(5) “School District” means a district organized under ORS Chapter 332.</w:t>
      </w:r>
    </w:p>
    <w:p w14:paraId="00000008" w14:textId="77777777" w:rsidR="007D2062" w:rsidRDefault="00000000">
      <w:r>
        <w:t>(6) “Summer Learning Program" means a program funded with grants provided under HB 2007 (2025).</w:t>
      </w:r>
    </w:p>
    <w:p w14:paraId="00000009" w14:textId="77777777" w:rsidR="007D2062" w:rsidRDefault="00000000">
      <w:r>
        <w:t>(7) “Tribe” means a federally recognized Indian tribe in Oregon:</w:t>
      </w:r>
    </w:p>
    <w:p w14:paraId="0000000A" w14:textId="77777777" w:rsidR="007D2062" w:rsidRDefault="00000000">
      <w:r>
        <w:t>(a) Burns Paiute Tribe;</w:t>
      </w:r>
    </w:p>
    <w:p w14:paraId="0000000B" w14:textId="77777777" w:rsidR="007D2062" w:rsidRDefault="00000000">
      <w:r>
        <w:t>(b) Confederated Tribes of Coos, Lower Umpqua, and Siuslaw Indians;</w:t>
      </w:r>
    </w:p>
    <w:p w14:paraId="0000000C" w14:textId="77777777" w:rsidR="007D2062" w:rsidRDefault="00000000">
      <w:r>
        <w:t>(c) Confederated Tribes of Grand Ronde;</w:t>
      </w:r>
    </w:p>
    <w:p w14:paraId="0000000D" w14:textId="77777777" w:rsidR="007D2062" w:rsidRDefault="00000000">
      <w:r>
        <w:t>(d) Confederated Tribes of Siletz Indians;</w:t>
      </w:r>
    </w:p>
    <w:p w14:paraId="0000000E" w14:textId="77777777" w:rsidR="007D2062" w:rsidRDefault="00000000">
      <w:r>
        <w:t>(e) Confederated Tribes of the Umatilla Indian Reservation;</w:t>
      </w:r>
    </w:p>
    <w:p w14:paraId="0000000F" w14:textId="77777777" w:rsidR="007D2062" w:rsidRDefault="00000000">
      <w:r>
        <w:t>(f) Confederated Tribes of the Warm Springs Reservation;</w:t>
      </w:r>
    </w:p>
    <w:p w14:paraId="00000010" w14:textId="77777777" w:rsidR="007D2062" w:rsidRDefault="00000000">
      <w:r>
        <w:t>(g) Coquille Indian Tribe;</w:t>
      </w:r>
    </w:p>
    <w:p w14:paraId="00000011" w14:textId="77777777" w:rsidR="007D2062" w:rsidRDefault="00000000">
      <w:r>
        <w:t>(h) Cow Creek Band of Umpqua Tribe of Indians; and</w:t>
      </w:r>
    </w:p>
    <w:p w14:paraId="00000012" w14:textId="77777777" w:rsidR="007D2062" w:rsidRDefault="00000000">
      <w:r>
        <w:t>(i) Klamath Tribes.</w:t>
      </w:r>
    </w:p>
    <w:p w14:paraId="00000013" w14:textId="77777777" w:rsidR="007D2062" w:rsidRDefault="00000000">
      <w:pPr>
        <w:spacing w:before="360"/>
        <w:ind w:left="1350" w:hanging="1350"/>
        <w:rPr>
          <w:b/>
          <w:sz w:val="24"/>
          <w:szCs w:val="24"/>
        </w:rPr>
      </w:pPr>
      <w:r>
        <w:rPr>
          <w:b/>
          <w:sz w:val="24"/>
          <w:szCs w:val="24"/>
        </w:rPr>
        <w:t>581-017-3005 State Summer Learning Grant: Application</w:t>
      </w:r>
    </w:p>
    <w:p w14:paraId="00000014" w14:textId="77777777" w:rsidR="007D2062" w:rsidRDefault="00000000">
      <w:r>
        <w:t>(1) Eligible Entities shall apply in a form and manner required by the Department.</w:t>
      </w:r>
    </w:p>
    <w:p w14:paraId="00000015" w14:textId="77777777" w:rsidR="007D2062" w:rsidRDefault="00000000">
      <w:r>
        <w:t>(2) An application must include:</w:t>
      </w:r>
    </w:p>
    <w:p w14:paraId="00000016" w14:textId="77777777" w:rsidR="007D2062" w:rsidRDefault="00000000">
      <w:r>
        <w:t>(a) The requirements listed in Section 1(4)(b) of HB 2007 (2025); and</w:t>
      </w:r>
    </w:p>
    <w:p w14:paraId="00000017" w14:textId="77777777" w:rsidR="007D2062" w:rsidRDefault="00000000">
      <w:r>
        <w:t>(b) Additional requirements as provided by the Department to prioritize applications.</w:t>
      </w:r>
    </w:p>
    <w:p w14:paraId="00000018" w14:textId="77777777" w:rsidR="007D2062" w:rsidRDefault="00000000">
      <w:r>
        <w:t>(3) The Department shall evaluate the applications through a review panel process and score each individual application based on a scoring rubric made available to applicants at the opening of the application period.</w:t>
      </w:r>
    </w:p>
    <w:p w14:paraId="00000019" w14:textId="77777777" w:rsidR="007D2062" w:rsidRDefault="00000000">
      <w:r>
        <w:t>(4) Eligible Entities may submit a consortium application where more than one Eligible Entity applies under one application.</w:t>
      </w:r>
    </w:p>
    <w:p w14:paraId="0000001A" w14:textId="77777777" w:rsidR="007D2062" w:rsidRDefault="00000000">
      <w:r>
        <w:lastRenderedPageBreak/>
        <w:t>(5) An individual Eligible Entity shall only apply once, whether individually or as part of a consortium, per Summer Learning Grant cycle.</w:t>
      </w:r>
    </w:p>
    <w:p w14:paraId="0000001B" w14:textId="77777777" w:rsidR="007D2062" w:rsidRDefault="00000000">
      <w:pPr>
        <w:spacing w:before="360"/>
      </w:pPr>
      <w:r>
        <w:rPr>
          <w:b/>
          <w:sz w:val="24"/>
          <w:szCs w:val="24"/>
        </w:rPr>
        <w:t>581-017-3010 State Summer Learning Grant: Prioritization</w:t>
      </w:r>
    </w:p>
    <w:p w14:paraId="0000001C" w14:textId="77777777" w:rsidR="007D2062" w:rsidRDefault="00000000">
      <w:r>
        <w:t>(1) For the purpose of awarding State Summer Learning Grants, the Department shall develop prioritization points that:</w:t>
      </w:r>
    </w:p>
    <w:p w14:paraId="0000001D" w14:textId="77777777" w:rsidR="007D2062" w:rsidRDefault="00000000">
      <w:r>
        <w:t>(a) Include all prioritization factors stated in Section 1(5) of HB 2007(2025); and</w:t>
      </w:r>
    </w:p>
    <w:p w14:paraId="0000001E" w14:textId="77777777" w:rsidR="007D2062" w:rsidRDefault="00000000">
      <w:r>
        <w:t>(b) Include other prioritization factors as determined by the Department.</w:t>
      </w:r>
    </w:p>
    <w:p w14:paraId="0000001F" w14:textId="77777777" w:rsidR="007D2062" w:rsidRDefault="00000000">
      <w:r>
        <w:t>(2) The Department shall provide the calculated prioritization points to Eligible Entities upon the opening of the application period.</w:t>
      </w:r>
    </w:p>
    <w:p w14:paraId="00000020" w14:textId="77777777" w:rsidR="007D2062" w:rsidRDefault="00000000">
      <w:r>
        <w:t>(3) For School Districts or Charter Schools that apply as a consortium with other School Districts or Charter Schools, the consortium will receive prioritization points equal to the highest priority points of an individual member in the consortium.</w:t>
      </w:r>
    </w:p>
    <w:p w14:paraId="00000021" w14:textId="77777777" w:rsidR="007D2062" w:rsidRDefault="00000000">
      <w:r>
        <w:t>(4) The Department shall combine the prioritization points with the application’s review panel score to reach a final application score.</w:t>
      </w:r>
    </w:p>
    <w:p w14:paraId="00000022" w14:textId="77777777" w:rsidR="007D2062" w:rsidRDefault="00000000">
      <w:r>
        <w:t>(5) The Department shall use the final application score to rank applications for funding decisions.</w:t>
      </w:r>
    </w:p>
    <w:p w14:paraId="00000023" w14:textId="77777777" w:rsidR="007D2062" w:rsidRDefault="00000000">
      <w:r>
        <w:t>(6) The Department’s prioritization determinations shall be final.</w:t>
      </w:r>
    </w:p>
    <w:p w14:paraId="00000024" w14:textId="77777777" w:rsidR="007D2062" w:rsidRDefault="00000000">
      <w:pPr>
        <w:spacing w:before="360"/>
        <w:ind w:left="1350" w:hanging="1350"/>
        <w:rPr>
          <w:b/>
          <w:sz w:val="24"/>
          <w:szCs w:val="24"/>
        </w:rPr>
      </w:pPr>
      <w:r>
        <w:rPr>
          <w:b/>
          <w:sz w:val="24"/>
          <w:szCs w:val="24"/>
        </w:rPr>
        <w:t>581-017-3015 State Summer Learning Grant: ESDs</w:t>
      </w:r>
    </w:p>
    <w:p w14:paraId="00000025" w14:textId="77777777" w:rsidR="007D2062" w:rsidRDefault="00000000">
      <w:r>
        <w:t>(1) Eligible Entities that are Education Service Districts may apply for a State Summer Learning Grant as follows:</w:t>
      </w:r>
    </w:p>
    <w:p w14:paraId="00000026" w14:textId="77777777" w:rsidR="007D2062" w:rsidRDefault="00000000">
      <w:r>
        <w:t>(a) As an individual entity to provide Summer Learning Programs directly to students;</w:t>
      </w:r>
    </w:p>
    <w:p w14:paraId="00000027" w14:textId="77777777" w:rsidR="007D2062" w:rsidRDefault="00000000">
      <w:r>
        <w:t>(b) As a consortium with one or more other ESDs to provide Summer Learning Programs directly to students; or</w:t>
      </w:r>
    </w:p>
    <w:p w14:paraId="00000028" w14:textId="77777777" w:rsidR="007D2062" w:rsidRDefault="00000000">
      <w:r>
        <w:t>(c) As a consortium with one or more School Districts, Charter Schools, or Tribes to provide administrative support to School Districts, Charter Schools, or Tribes that provide Summer Learning Programs to students.</w:t>
      </w:r>
    </w:p>
    <w:p w14:paraId="00000029" w14:textId="77777777" w:rsidR="007D2062" w:rsidRDefault="00000000">
      <w:r>
        <w:t>(2) An individual ESD’s prioritization points shall be calculated based on the average of their component School Districts’ data.</w:t>
      </w:r>
    </w:p>
    <w:p w14:paraId="0000002A" w14:textId="77777777" w:rsidR="007D2062" w:rsidRDefault="00000000">
      <w:r>
        <w:t>(3) The final application score for an ESD shall be calculated based on the type of application submitted by the ESD as follows:</w:t>
      </w:r>
    </w:p>
    <w:p w14:paraId="0000002B" w14:textId="77777777" w:rsidR="007D2062" w:rsidRDefault="00000000">
      <w:r>
        <w:t>(a) ESDs that apply as individual entities or in a consortium with Tribes only, shall receive prioritization points as calculated in section (2) above;</w:t>
      </w:r>
    </w:p>
    <w:p w14:paraId="0000002C" w14:textId="77777777" w:rsidR="007D2062" w:rsidRDefault="00000000">
      <w:r>
        <w:t>(b) For ESDs that apply as a consortium with other ESDs, the consortium will receive prioritization points equal to the highest prioritization points of an individual ESD in the consortium;</w:t>
      </w:r>
    </w:p>
    <w:p w14:paraId="0000002D" w14:textId="77777777" w:rsidR="007D2062" w:rsidRDefault="00000000">
      <w:r>
        <w:lastRenderedPageBreak/>
        <w:t>(c) For ESDs that apply as a consortium with School Districts or Charter Schools, the consortium will receive prioritization points equal to the highest prioritization points of an individual School District or Charter School in the consortium; or</w:t>
      </w:r>
    </w:p>
    <w:p w14:paraId="0000002E" w14:textId="77777777" w:rsidR="007D2062" w:rsidRDefault="00000000">
      <w:r>
        <w:t>(d) For ESDs that apply with Tribes and at least one School District or Charter School, the consortium will receive prioritization points equal to the highest prioritization points of an individual School District or Charter School in the consortium.</w:t>
      </w:r>
    </w:p>
    <w:p w14:paraId="0000002F" w14:textId="77777777" w:rsidR="007D2062" w:rsidRDefault="00000000">
      <w:r>
        <w:t>(4) ESDs that receive a State Summer Learning Grant shall comply with all other requirements of the grant and these rules along with other Eligible Entities.</w:t>
      </w:r>
    </w:p>
    <w:p w14:paraId="00000030" w14:textId="77777777" w:rsidR="007D2062" w:rsidRDefault="00000000">
      <w:pPr>
        <w:spacing w:before="360"/>
        <w:ind w:left="1350" w:hanging="1350"/>
        <w:rPr>
          <w:b/>
          <w:sz w:val="24"/>
          <w:szCs w:val="24"/>
        </w:rPr>
      </w:pPr>
      <w:r>
        <w:rPr>
          <w:b/>
          <w:sz w:val="24"/>
          <w:szCs w:val="24"/>
        </w:rPr>
        <w:t>581-017-3020 State Summer Learning Grant: Tribes</w:t>
      </w:r>
    </w:p>
    <w:p w14:paraId="00000031" w14:textId="77777777" w:rsidR="007D2062" w:rsidRDefault="00000000">
      <w:r>
        <w:t>(1) Eligible Entities that are Tribes shall:</w:t>
      </w:r>
    </w:p>
    <w:p w14:paraId="00000032" w14:textId="77777777" w:rsidR="007D2062" w:rsidRDefault="00000000">
      <w:r>
        <w:t>(a) Submit an application in a form and manner determined by the Department; and</w:t>
      </w:r>
    </w:p>
    <w:p w14:paraId="00000033" w14:textId="77777777" w:rsidR="007D2062" w:rsidRDefault="00000000">
      <w:r>
        <w:t>(b) Apply following the same application dates as other Eligible Entities.</w:t>
      </w:r>
    </w:p>
    <w:p w14:paraId="00000034" w14:textId="77777777" w:rsidR="007D2062" w:rsidRDefault="00000000">
      <w:r>
        <w:t>(2) A Tribe may submit an application ahead of the application date to the Department and to the extent practicable, the Department shall review the application and collaborate with the Tribe to develop a final application that shall be submitted by the application due date.</w:t>
      </w:r>
    </w:p>
    <w:p w14:paraId="00000035" w14:textId="77777777" w:rsidR="007D2062" w:rsidRDefault="00000000">
      <w:r>
        <w:t>(3) The Department may reduce an award granted to a successful application from a Tribe as provided in OAR 581-017-3025(4).</w:t>
      </w:r>
    </w:p>
    <w:p w14:paraId="00000036" w14:textId="77777777" w:rsidR="007D2062" w:rsidRDefault="00000000">
      <w:r>
        <w:t>(4) Tribes that receive a State Summer Learning Grant shall comply with all requirements of the grant and these rules along with other Eligible Entities.</w:t>
      </w:r>
    </w:p>
    <w:p w14:paraId="00000037" w14:textId="77777777" w:rsidR="007D2062" w:rsidRDefault="00000000">
      <w:pPr>
        <w:spacing w:before="360"/>
        <w:ind w:left="1350" w:hanging="1350"/>
        <w:rPr>
          <w:b/>
          <w:sz w:val="24"/>
          <w:szCs w:val="24"/>
        </w:rPr>
      </w:pPr>
      <w:r>
        <w:rPr>
          <w:b/>
          <w:sz w:val="24"/>
          <w:szCs w:val="24"/>
        </w:rPr>
        <w:t>581-017-3025 State Summer Learning Grant: Funding</w:t>
      </w:r>
    </w:p>
    <w:p w14:paraId="00000038" w14:textId="77777777" w:rsidR="007D2062" w:rsidRDefault="00000000">
      <w:r>
        <w:t>(1) The maximum amount an Eligible Entity shall receive under this grant is $1,000,000.00 per year.</w:t>
      </w:r>
    </w:p>
    <w:p w14:paraId="00000039" w14:textId="77777777" w:rsidR="007D2062" w:rsidRDefault="00000000">
      <w:r>
        <w:t>(2) Eligible Entities shall, as part of their application, request the total amount of funds they need each year of the grant to successfully provide a Summer Learning Program.</w:t>
      </w:r>
    </w:p>
    <w:p w14:paraId="0000003A" w14:textId="77777777" w:rsidR="007D2062" w:rsidRDefault="00000000">
      <w:r>
        <w:t>(3) The Department shall review all funding requests by Eligible Entities.</w:t>
      </w:r>
    </w:p>
    <w:p w14:paraId="0000003B" w14:textId="77777777" w:rsidR="007D2062" w:rsidRDefault="00000000">
      <w:r>
        <w:t>(4) The Department may, in its discretion reduce a grant award from the requested amount based on the needs of the program, review panel feedback, and other criteria identified by the Department.</w:t>
      </w:r>
    </w:p>
    <w:p w14:paraId="0000003C" w14:textId="77777777" w:rsidR="007D2062" w:rsidRDefault="00000000">
      <w:r>
        <w:t>(5) Based on the final application score described in OAR 581-017-3010, the Department shall rank final applications in order of highest score to lowest score.</w:t>
      </w:r>
    </w:p>
    <w:p w14:paraId="0000003D" w14:textId="77777777" w:rsidR="007D2062" w:rsidRDefault="00000000">
      <w:r>
        <w:t>(6) The Department may revise final application scores to ensure equitable distribution of funding among the geographic areas within the state. If the Department revises final application scores, the Department shall reorder the scores from highest to lowest.</w:t>
      </w:r>
    </w:p>
    <w:p w14:paraId="0000003E" w14:textId="77777777" w:rsidR="007D2062" w:rsidRDefault="00000000">
      <w:r>
        <w:t>(7) The Department shall award grants from the highest score down until all State Summer Learning Grant funds are awarded.</w:t>
      </w:r>
    </w:p>
    <w:p w14:paraId="0000003F" w14:textId="77777777" w:rsidR="007D2062" w:rsidRDefault="00000000">
      <w:r>
        <w:lastRenderedPageBreak/>
        <w:t>(8) Subject to funding provided by the Legislature, the Department shall award funding to each Eligible Entity with a grant agreement that provides for multiple years of programming.</w:t>
      </w:r>
    </w:p>
    <w:p w14:paraId="00000040" w14:textId="77777777" w:rsidR="007D2062" w:rsidRDefault="00000000">
      <w:pPr>
        <w:spacing w:before="360"/>
        <w:ind w:left="1350" w:hanging="1350"/>
        <w:rPr>
          <w:b/>
          <w:sz w:val="24"/>
          <w:szCs w:val="24"/>
        </w:rPr>
      </w:pPr>
      <w:r>
        <w:rPr>
          <w:b/>
          <w:sz w:val="24"/>
          <w:szCs w:val="24"/>
        </w:rPr>
        <w:t>581-017-3030 State Summer Learning Grant: Reporting</w:t>
      </w:r>
    </w:p>
    <w:p w14:paraId="00000041" w14:textId="77777777" w:rsidR="007D2062" w:rsidRDefault="00000000">
      <w:r>
        <w:t xml:space="preserve">(1) Eligible Entities shall report in a form and manner required by the Department, the results of their Summer Learning Programming including: </w:t>
      </w:r>
    </w:p>
    <w:p w14:paraId="00000042" w14:textId="77777777" w:rsidR="007D2062" w:rsidRDefault="00000000">
      <w:r>
        <w:t>(a) The requirements listed in Section 1(7) of HB 2007 (2025); and</w:t>
      </w:r>
    </w:p>
    <w:p w14:paraId="00000043" w14:textId="77777777" w:rsidR="007D2062" w:rsidRDefault="00000000">
      <w:r>
        <w:t>(b) Other requirements determined by the Department that are necessary for program reporting and improvement.</w:t>
      </w:r>
    </w:p>
    <w:p w14:paraId="00000044" w14:textId="77777777" w:rsidR="007D2062" w:rsidRDefault="00000000">
      <w:r>
        <w:t>(2) Eligible Entities shall submit their reports by November 15 each year. If November 15 falls on a holiday or weekend, then Eligible Entities shall submit their reports by the next business day.</w:t>
      </w:r>
    </w:p>
    <w:p w14:paraId="00000045" w14:textId="77777777" w:rsidR="007D2062" w:rsidRDefault="00000000">
      <w:pPr>
        <w:spacing w:before="360"/>
        <w:ind w:left="1350" w:hanging="1350"/>
        <w:rPr>
          <w:b/>
          <w:sz w:val="24"/>
          <w:szCs w:val="24"/>
        </w:rPr>
      </w:pPr>
      <w:r>
        <w:rPr>
          <w:b/>
          <w:sz w:val="24"/>
          <w:szCs w:val="24"/>
        </w:rPr>
        <w:t>581-017-3035 State Summer Learning Grant: Additional Requirements and Qualifications</w:t>
      </w:r>
    </w:p>
    <w:p w14:paraId="00000046" w14:textId="77777777" w:rsidR="007D2062" w:rsidRDefault="00000000">
      <w:r>
        <w:t>(1) Each grant shall be awarded for a period of not less than 3 years and not more than 5 years.</w:t>
      </w:r>
    </w:p>
    <w:p w14:paraId="00000047" w14:textId="77777777" w:rsidR="007D2062" w:rsidRDefault="00000000">
      <w:r>
        <w:t>(2) Eligible administrative expenses shall include:</w:t>
      </w:r>
    </w:p>
    <w:p w14:paraId="00000048" w14:textId="77777777" w:rsidR="007D2062" w:rsidRDefault="00000000">
      <w:r>
        <w:t>(a) No limit on administrative expenses of a partner organization described under Section 1(4)(c) of HB 2007 (2025); and</w:t>
      </w:r>
    </w:p>
    <w:p w14:paraId="00000049" w14:textId="77777777" w:rsidR="007D2062" w:rsidRDefault="00000000">
      <w:r>
        <w:t>(b) A maximum of 10% of the total grant amount for an Eligible Entity providing services under the grant.</w:t>
      </w:r>
    </w:p>
    <w:p w14:paraId="0000004A" w14:textId="77777777" w:rsidR="007D2062" w:rsidRDefault="00000000">
      <w:r>
        <w:t>(3) Eligible transportation costs are not considered administrative costs for purposes of Section (2) above.</w:t>
      </w:r>
    </w:p>
    <w:sectPr w:rsidR="007D206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D559E34-5AA5-4577-BC33-FB7432CCDBB8}"/>
    <w:embedBold r:id="rId2" w:fontKey="{538E26CF-CF25-48E5-87E9-E288F0DA24E4}"/>
    <w:embedItalic r:id="rId3" w:fontKey="{ECB00BC4-1A06-45F8-A725-EE12A7AD9CD7}"/>
  </w:font>
  <w:font w:name="Livvic">
    <w:altName w:val="Times New Roman"/>
    <w:charset w:val="00"/>
    <w:family w:val="auto"/>
    <w:pitch w:val="variable"/>
    <w:sig w:usb0="A00000FF" w:usb1="4000204B" w:usb2="00000000" w:usb3="00000000" w:csb0="00000193" w:csb1="00000000"/>
    <w:embedRegular r:id="rId4" w:fontKey="{0632D15E-223B-4C95-BF56-515E05B51B9E}"/>
  </w:font>
  <w:font w:name="Times New Roman">
    <w:panose1 w:val="02020603050405020304"/>
    <w:charset w:val="00"/>
    <w:family w:val="roman"/>
    <w:pitch w:val="variable"/>
    <w:sig w:usb0="E0002EFF" w:usb1="C000785B" w:usb2="00000009" w:usb3="00000000" w:csb0="000001FF" w:csb1="00000000"/>
  </w:font>
  <w:font w:name="Urbanist">
    <w:altName w:val="Times New Roman"/>
    <w:charset w:val="00"/>
    <w:family w:val="swiss"/>
    <w:pitch w:val="variable"/>
    <w:sig w:usb0="A00000EF" w:usb1="0000207B" w:usb2="00000028"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062"/>
    <w:rsid w:val="007D2062"/>
    <w:rsid w:val="007D6761"/>
    <w:rsid w:val="00D62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A121DE-256B-45B3-9456-8446D44E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360"/>
      <w:ind w:left="1350" w:hanging="1350"/>
      <w:outlineLvl w:val="0"/>
    </w:pPr>
    <w:rPr>
      <w:b/>
      <w:sz w:val="24"/>
      <w:szCs w:val="24"/>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Livvic" w:eastAsia="Livvic" w:hAnsi="Livvic" w:cs="Livvic"/>
      <w:color w:val="C3260C"/>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C3260C"/>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C3260C"/>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C3260C"/>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D748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8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8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Livvic" w:eastAsia="Livvic" w:hAnsi="Livvic" w:cs="Livvic"/>
      <w:sz w:val="56"/>
      <w:szCs w:val="56"/>
    </w:rPr>
  </w:style>
  <w:style w:type="character" w:customStyle="1" w:styleId="Heading1Char">
    <w:name w:val="Heading 1 Char"/>
    <w:basedOn w:val="DefaultParagraphFont"/>
    <w:link w:val="Heading1"/>
    <w:uiPriority w:val="9"/>
    <w:rsid w:val="008F45A9"/>
    <w:rPr>
      <w:rFonts w:ascii="Calibri" w:hAnsi="Calibri"/>
      <w:b/>
      <w:bCs/>
      <w:szCs w:val="26"/>
    </w:rPr>
  </w:style>
  <w:style w:type="character" w:customStyle="1" w:styleId="Heading2Char">
    <w:name w:val="Heading 2 Char"/>
    <w:basedOn w:val="DefaultParagraphFont"/>
    <w:link w:val="Heading2"/>
    <w:uiPriority w:val="9"/>
    <w:semiHidden/>
    <w:rsid w:val="00D748AC"/>
    <w:rPr>
      <w:rFonts w:asciiTheme="majorHAnsi" w:eastAsiaTheme="majorEastAsia" w:hAnsiTheme="majorHAnsi" w:cstheme="majorBidi"/>
      <w:color w:val="C2260C" w:themeColor="accent1" w:themeShade="BF"/>
      <w:sz w:val="32"/>
      <w:szCs w:val="32"/>
    </w:rPr>
  </w:style>
  <w:style w:type="character" w:customStyle="1" w:styleId="Heading3Char">
    <w:name w:val="Heading 3 Char"/>
    <w:basedOn w:val="DefaultParagraphFont"/>
    <w:link w:val="Heading3"/>
    <w:uiPriority w:val="9"/>
    <w:semiHidden/>
    <w:rsid w:val="00D748AC"/>
    <w:rPr>
      <w:rFonts w:eastAsiaTheme="majorEastAsia" w:cstheme="majorBidi"/>
      <w:color w:val="C2260C" w:themeColor="accent1" w:themeShade="BF"/>
      <w:sz w:val="28"/>
      <w:szCs w:val="28"/>
    </w:rPr>
  </w:style>
  <w:style w:type="character" w:customStyle="1" w:styleId="Heading4Char">
    <w:name w:val="Heading 4 Char"/>
    <w:basedOn w:val="DefaultParagraphFont"/>
    <w:link w:val="Heading4"/>
    <w:uiPriority w:val="9"/>
    <w:semiHidden/>
    <w:rsid w:val="00D748AC"/>
    <w:rPr>
      <w:rFonts w:eastAsiaTheme="majorEastAsia" w:cstheme="majorBidi"/>
      <w:i/>
      <w:iCs/>
      <w:color w:val="C2260C" w:themeColor="accent1" w:themeShade="BF"/>
    </w:rPr>
  </w:style>
  <w:style w:type="character" w:customStyle="1" w:styleId="Heading5Char">
    <w:name w:val="Heading 5 Char"/>
    <w:basedOn w:val="DefaultParagraphFont"/>
    <w:link w:val="Heading5"/>
    <w:uiPriority w:val="9"/>
    <w:semiHidden/>
    <w:rsid w:val="00D748AC"/>
    <w:rPr>
      <w:rFonts w:eastAsiaTheme="majorEastAsia" w:cstheme="majorBidi"/>
      <w:color w:val="C2260C" w:themeColor="accent1" w:themeShade="BF"/>
    </w:rPr>
  </w:style>
  <w:style w:type="character" w:customStyle="1" w:styleId="Heading6Char">
    <w:name w:val="Heading 6 Char"/>
    <w:basedOn w:val="DefaultParagraphFont"/>
    <w:link w:val="Heading6"/>
    <w:uiPriority w:val="9"/>
    <w:semiHidden/>
    <w:rsid w:val="00D748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8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8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8AC"/>
    <w:rPr>
      <w:rFonts w:eastAsiaTheme="majorEastAsia" w:cstheme="majorBidi"/>
      <w:color w:val="272727" w:themeColor="text1" w:themeTint="D8"/>
    </w:rPr>
  </w:style>
  <w:style w:type="character" w:customStyle="1" w:styleId="TitleChar">
    <w:name w:val="Title Char"/>
    <w:basedOn w:val="DefaultParagraphFont"/>
    <w:link w:val="Title"/>
    <w:uiPriority w:val="10"/>
    <w:rsid w:val="00D748A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74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8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48AC"/>
    <w:rPr>
      <w:i/>
      <w:iCs/>
      <w:color w:val="404040" w:themeColor="text1" w:themeTint="BF"/>
    </w:rPr>
  </w:style>
  <w:style w:type="paragraph" w:styleId="ListParagraph">
    <w:name w:val="List Paragraph"/>
    <w:basedOn w:val="Normal"/>
    <w:uiPriority w:val="34"/>
    <w:qFormat/>
    <w:rsid w:val="00D748AC"/>
    <w:pPr>
      <w:ind w:left="720"/>
      <w:contextualSpacing/>
    </w:pPr>
  </w:style>
  <w:style w:type="character" w:styleId="IntenseEmphasis">
    <w:name w:val="Intense Emphasis"/>
    <w:basedOn w:val="DefaultParagraphFont"/>
    <w:uiPriority w:val="21"/>
    <w:qFormat/>
    <w:rsid w:val="00D748AC"/>
    <w:rPr>
      <w:i/>
      <w:iCs/>
      <w:color w:val="C2260C" w:themeColor="accent1" w:themeShade="BF"/>
    </w:rPr>
  </w:style>
  <w:style w:type="paragraph" w:styleId="IntenseQuote">
    <w:name w:val="Intense Quote"/>
    <w:basedOn w:val="Normal"/>
    <w:next w:val="Normal"/>
    <w:link w:val="IntenseQuoteChar"/>
    <w:uiPriority w:val="30"/>
    <w:qFormat/>
    <w:rsid w:val="00D748AC"/>
    <w:pPr>
      <w:pBdr>
        <w:top w:val="single" w:sz="4" w:space="10" w:color="C2260C" w:themeColor="accent1" w:themeShade="BF"/>
        <w:bottom w:val="single" w:sz="4" w:space="10" w:color="C2260C" w:themeColor="accent1" w:themeShade="BF"/>
      </w:pBdr>
      <w:spacing w:before="360" w:after="360"/>
      <w:ind w:left="864" w:right="864"/>
      <w:jc w:val="center"/>
    </w:pPr>
    <w:rPr>
      <w:i/>
      <w:iCs/>
      <w:color w:val="C2260C" w:themeColor="accent1" w:themeShade="BF"/>
    </w:rPr>
  </w:style>
  <w:style w:type="character" w:customStyle="1" w:styleId="IntenseQuoteChar">
    <w:name w:val="Intense Quote Char"/>
    <w:basedOn w:val="DefaultParagraphFont"/>
    <w:link w:val="IntenseQuote"/>
    <w:uiPriority w:val="30"/>
    <w:rsid w:val="00D748AC"/>
    <w:rPr>
      <w:i/>
      <w:iCs/>
      <w:color w:val="C2260C" w:themeColor="accent1" w:themeShade="BF"/>
    </w:rPr>
  </w:style>
  <w:style w:type="character" w:styleId="IntenseReference">
    <w:name w:val="Intense Reference"/>
    <w:basedOn w:val="DefaultParagraphFont"/>
    <w:uiPriority w:val="32"/>
    <w:qFormat/>
    <w:rsid w:val="00D748AC"/>
    <w:rPr>
      <w:b/>
      <w:bCs/>
      <w:smallCaps/>
      <w:color w:val="C2260C" w:themeColor="accent1" w:themeShade="BF"/>
      <w:spacing w:val="5"/>
    </w:rPr>
  </w:style>
  <w:style w:type="character" w:styleId="CommentReference">
    <w:name w:val="annotation reference"/>
    <w:basedOn w:val="DefaultParagraphFont"/>
    <w:uiPriority w:val="99"/>
    <w:semiHidden/>
    <w:unhideWhenUsed/>
    <w:rsid w:val="0065222B"/>
    <w:rPr>
      <w:sz w:val="16"/>
      <w:szCs w:val="16"/>
    </w:rPr>
  </w:style>
  <w:style w:type="paragraph" w:styleId="CommentText">
    <w:name w:val="annotation text"/>
    <w:basedOn w:val="Normal"/>
    <w:link w:val="CommentTextChar"/>
    <w:uiPriority w:val="99"/>
    <w:unhideWhenUsed/>
    <w:rsid w:val="0065222B"/>
    <w:rPr>
      <w:sz w:val="20"/>
      <w:szCs w:val="20"/>
    </w:rPr>
  </w:style>
  <w:style w:type="character" w:customStyle="1" w:styleId="CommentTextChar">
    <w:name w:val="Comment Text Char"/>
    <w:basedOn w:val="DefaultParagraphFont"/>
    <w:link w:val="CommentText"/>
    <w:uiPriority w:val="99"/>
    <w:rsid w:val="0065222B"/>
    <w:rPr>
      <w:sz w:val="20"/>
      <w:szCs w:val="20"/>
    </w:rPr>
  </w:style>
  <w:style w:type="paragraph" w:styleId="CommentSubject">
    <w:name w:val="annotation subject"/>
    <w:basedOn w:val="CommentText"/>
    <w:next w:val="CommentText"/>
    <w:link w:val="CommentSubjectChar"/>
    <w:uiPriority w:val="99"/>
    <w:semiHidden/>
    <w:unhideWhenUsed/>
    <w:rsid w:val="0065222B"/>
    <w:rPr>
      <w:b/>
      <w:bCs/>
    </w:rPr>
  </w:style>
  <w:style w:type="character" w:customStyle="1" w:styleId="CommentSubjectChar">
    <w:name w:val="Comment Subject Char"/>
    <w:basedOn w:val="CommentTextChar"/>
    <w:link w:val="CommentSubject"/>
    <w:uiPriority w:val="99"/>
    <w:semiHidden/>
    <w:rsid w:val="0065222B"/>
    <w:rPr>
      <w:b/>
      <w:bCs/>
      <w:sz w:val="20"/>
      <w:szCs w:val="20"/>
    </w:rPr>
  </w:style>
  <w:style w:type="paragraph" w:styleId="Revision">
    <w:name w:val="Revision"/>
    <w:hidden/>
    <w:uiPriority w:val="99"/>
    <w:semiHidden/>
    <w:rsid w:val="00B9314C"/>
    <w:pPr>
      <w:spacing w:after="0"/>
    </w:pPr>
  </w:style>
  <w:style w:type="paragraph" w:styleId="Subtitle">
    <w:name w:val="Subtitle"/>
    <w:basedOn w:val="Normal"/>
    <w:next w:val="Normal"/>
    <w:link w:val="SubtitleChar"/>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DELC">
  <a:themeElements>
    <a:clrScheme name="Sav's Favorites">
      <a:dk1>
        <a:sysClr val="windowText" lastClr="000000"/>
      </a:dk1>
      <a:lt1>
        <a:sysClr val="window" lastClr="FFFFFF"/>
      </a:lt1>
      <a:dk2>
        <a:srgbClr val="808080"/>
      </a:dk2>
      <a:lt2>
        <a:srgbClr val="C0C0C0"/>
      </a:lt2>
      <a:accent1>
        <a:srgbClr val="F14124"/>
      </a:accent1>
      <a:accent2>
        <a:srgbClr val="954F72"/>
      </a:accent2>
      <a:accent3>
        <a:srgbClr val="5B9BD5"/>
      </a:accent3>
      <a:accent4>
        <a:srgbClr val="FF8021"/>
      </a:accent4>
      <a:accent5>
        <a:srgbClr val="FFC000"/>
      </a:accent5>
      <a:accent6>
        <a:srgbClr val="9BBB59"/>
      </a:accent6>
      <a:hlink>
        <a:srgbClr val="0563C1"/>
      </a:hlink>
      <a:folHlink>
        <a:srgbClr val="954F72"/>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Rj/n63+LC7i7/9pn1cLHWlWLDA==">CgMxLjA4AHIhMTE1UWtTdDlWNUVCa3NmbkJvQjNvMWozY2FwS3R0T3JQ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2025-08-26T07:00:00+00:00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2025-09-15T07:00:00+00:00</Remediation_x0020_Dat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A182F5-77A3-466C-998E-7194B2B0F492}"/>
</file>

<file path=customXml/itemProps3.xml><?xml version="1.0" encoding="utf-8"?>
<ds:datastoreItem xmlns:ds="http://schemas.openxmlformats.org/officeDocument/2006/customXml" ds:itemID="{EC3975EB-20C4-48B8-B8C6-6DC731372FE9}"/>
</file>

<file path=customXml/itemProps4.xml><?xml version="1.0" encoding="utf-8"?>
<ds:datastoreItem xmlns:ds="http://schemas.openxmlformats.org/officeDocument/2006/customXml" ds:itemID="{FD5CBC21-64FB-4FDF-A159-8F651CA16C2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6891</Characters>
  <Application>Microsoft Office Word</Application>
  <DocSecurity>0</DocSecurity>
  <Lines>57</Lines>
  <Paragraphs>16</Paragraphs>
  <ScaleCrop>false</ScaleCrop>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 2007 (2025) Bill Implementation: Summer Learning Proposed New Rules</dc:title>
  <dc:creator>ELLIOTT Michael S * ODE</dc:creator>
  <cp:lastModifiedBy>BRUNELLE Haedon * ODE</cp:lastModifiedBy>
  <cp:revision>2</cp:revision>
  <dcterms:created xsi:type="dcterms:W3CDTF">2025-09-15T23:41:00Z</dcterms:created>
  <dcterms:modified xsi:type="dcterms:W3CDTF">2025-09-15T23:41:00Z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